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494615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4E1CD9" w:rsidRPr="004E1CD9">
        <w:rPr>
          <w:rFonts w:ascii="Arial" w:eastAsia="Calibri" w:hAnsi="Arial" w:cs="Arial"/>
          <w:color w:val="000000" w:themeColor="text1"/>
        </w:rPr>
        <w:t>„30030 Ekspertizių paslaugos“</w:t>
      </w:r>
      <w:r w:rsidR="004E1CD9" w:rsidRPr="004E1CD9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27B28"/>
    <w:rsid w:val="003F245C"/>
    <w:rsid w:val="0043557C"/>
    <w:rsid w:val="0048499A"/>
    <w:rsid w:val="004E1CD9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61130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B90D5F"/>
    <w:rsid w:val="00F6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9fe642b57029ad1b56339cb0f3f83474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40d33fe5741fb639a34409df3828f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5B8A76-9AB7-4F39-83A2-49EAE7992013}"/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aa4df4ad-5d2d-40cc-8892-0532580ad8da"/>
    <ds:schemaRef ds:uri="ff9a5c92-4819-423e-b5a8-42f2667ac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2025-02-19T07:47:00Z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